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0CA" w:rsidRDefault="005B49ED">
      <w:pPr>
        <w:jc w:val="center"/>
        <w:rPr>
          <w:rFonts w:ascii="Calibri" w:eastAsia="Calibri" w:hAnsi="Calibri" w:cs="Calibri"/>
          <w:sz w:val="24"/>
          <w:szCs w:val="24"/>
          <w:highlight w:val="white"/>
        </w:rPr>
      </w:pPr>
      <w:bookmarkStart w:id="0" w:name="_GoBack"/>
      <w:bookmarkEnd w:id="0"/>
      <w:r>
        <w:rPr>
          <w:rFonts w:ascii="Calibri" w:eastAsia="Calibri" w:hAnsi="Calibri" w:cs="Calibri"/>
          <w:sz w:val="24"/>
          <w:szCs w:val="24"/>
          <w:highlight w:val="white"/>
        </w:rPr>
        <w:t xml:space="preserve">Dr. Fletcher’s Lab at the Van </w:t>
      </w:r>
      <w:proofErr w:type="spellStart"/>
      <w:r>
        <w:rPr>
          <w:rFonts w:ascii="Calibri" w:eastAsia="Calibri" w:hAnsi="Calibri" w:cs="Calibri"/>
          <w:sz w:val="24"/>
          <w:szCs w:val="24"/>
          <w:highlight w:val="white"/>
        </w:rPr>
        <w:t>Liere</w:t>
      </w:r>
      <w:proofErr w:type="spellEnd"/>
      <w:r>
        <w:rPr>
          <w:rFonts w:ascii="Calibri" w:eastAsia="Calibri" w:hAnsi="Calibri" w:cs="Calibri"/>
          <w:sz w:val="24"/>
          <w:szCs w:val="24"/>
          <w:highlight w:val="white"/>
        </w:rPr>
        <w:t xml:space="preserve"> Psychology Senior Individualized Project Symposium</w:t>
      </w:r>
    </w:p>
    <w:p w:rsidR="004D50CA" w:rsidRDefault="004D50CA">
      <w:pPr>
        <w:jc w:val="center"/>
        <w:rPr>
          <w:rFonts w:ascii="Calibri" w:eastAsia="Calibri" w:hAnsi="Calibri" w:cs="Calibri"/>
          <w:sz w:val="24"/>
          <w:szCs w:val="24"/>
          <w:highlight w:val="white"/>
        </w:rPr>
      </w:pPr>
    </w:p>
    <w:p w:rsidR="004D50CA" w:rsidRDefault="005B49ED">
      <w:pPr>
        <w:rPr>
          <w:rFonts w:ascii="Calibri" w:eastAsia="Calibri" w:hAnsi="Calibri" w:cs="Calibri"/>
          <w:sz w:val="24"/>
          <w:szCs w:val="24"/>
          <w:highlight w:val="white"/>
        </w:rPr>
      </w:pPr>
      <w:r>
        <w:rPr>
          <w:noProof/>
        </w:rPr>
        <w:drawing>
          <wp:inline distT="114300" distB="114300" distL="114300" distR="114300">
            <wp:extent cx="3567113" cy="2005684"/>
            <wp:effectExtent l="0" t="0" r="0" b="0"/>
            <wp:docPr id="5"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5"/>
                    <a:srcRect/>
                    <a:stretch>
                      <a:fillRect/>
                    </a:stretch>
                  </pic:blipFill>
                  <pic:spPr>
                    <a:xfrm>
                      <a:off x="0" y="0"/>
                      <a:ext cx="3567113" cy="2005684"/>
                    </a:xfrm>
                    <a:prstGeom prst="rect">
                      <a:avLst/>
                    </a:prstGeom>
                    <a:ln/>
                  </pic:spPr>
                </pic:pic>
              </a:graphicData>
            </a:graphic>
          </wp:inline>
        </w:drawing>
      </w:r>
    </w:p>
    <w:p w:rsidR="004D50CA" w:rsidRDefault="005B49ED">
      <w:pPr>
        <w:rPr>
          <w:rFonts w:ascii="Calibri" w:eastAsia="Calibri" w:hAnsi="Calibri" w:cs="Calibri"/>
          <w:sz w:val="24"/>
          <w:szCs w:val="24"/>
          <w:highlight w:val="white"/>
        </w:rPr>
      </w:pPr>
      <w:r>
        <w:rPr>
          <w:rFonts w:ascii="Calibri" w:eastAsia="Calibri" w:hAnsi="Calibri" w:cs="Calibri"/>
          <w:sz w:val="24"/>
          <w:szCs w:val="24"/>
          <w:highlight w:val="white"/>
        </w:rPr>
        <w:t xml:space="preserve">(Pictured: Janelle Grant, Brandon Johnson-Smith, Dr. Fletcher, Janay Johnson, Sarah Bragg, and Rachel </w:t>
      </w:r>
      <w:proofErr w:type="spellStart"/>
      <w:r>
        <w:rPr>
          <w:rFonts w:ascii="Calibri" w:eastAsia="Calibri" w:hAnsi="Calibri" w:cs="Calibri"/>
          <w:sz w:val="24"/>
          <w:szCs w:val="24"/>
          <w:highlight w:val="white"/>
        </w:rPr>
        <w:t>Lifton</w:t>
      </w:r>
      <w:proofErr w:type="spellEnd"/>
      <w:r>
        <w:rPr>
          <w:rFonts w:ascii="Calibri" w:eastAsia="Calibri" w:hAnsi="Calibri" w:cs="Calibri"/>
          <w:sz w:val="24"/>
          <w:szCs w:val="24"/>
          <w:highlight w:val="white"/>
        </w:rPr>
        <w:t>)</w:t>
      </w:r>
    </w:p>
    <w:p w:rsidR="004D50CA" w:rsidRDefault="004D50CA">
      <w:pPr>
        <w:rPr>
          <w:rFonts w:ascii="Calibri" w:eastAsia="Calibri" w:hAnsi="Calibri" w:cs="Calibri"/>
          <w:sz w:val="24"/>
          <w:szCs w:val="24"/>
          <w:highlight w:val="white"/>
        </w:rPr>
      </w:pPr>
    </w:p>
    <w:p w:rsidR="004D50CA" w:rsidRDefault="005B49ED">
      <w:pPr>
        <w:rPr>
          <w:rFonts w:ascii="Calibri" w:eastAsia="Calibri" w:hAnsi="Calibri" w:cs="Calibri"/>
          <w:sz w:val="24"/>
          <w:szCs w:val="24"/>
          <w:highlight w:val="white"/>
        </w:rPr>
      </w:pPr>
      <w:r>
        <w:rPr>
          <w:rFonts w:ascii="Calibri" w:eastAsia="Calibri" w:hAnsi="Calibri" w:cs="Calibri"/>
          <w:sz w:val="24"/>
          <w:szCs w:val="24"/>
          <w:highlight w:val="white"/>
        </w:rPr>
        <w:t>Title: Barriers and Solutions to HIV Testing Among College Students</w:t>
      </w:r>
    </w:p>
    <w:p w:rsidR="004D50CA" w:rsidRDefault="005B49ED">
      <w:pPr>
        <w:rPr>
          <w:rFonts w:ascii="Calibri" w:eastAsia="Calibri" w:hAnsi="Calibri" w:cs="Calibri"/>
          <w:sz w:val="24"/>
          <w:szCs w:val="24"/>
          <w:highlight w:val="white"/>
        </w:rPr>
      </w:pPr>
      <w:r>
        <w:rPr>
          <w:rFonts w:ascii="Calibri" w:eastAsia="Calibri" w:hAnsi="Calibri" w:cs="Calibri"/>
          <w:sz w:val="24"/>
          <w:szCs w:val="24"/>
          <w:highlight w:val="white"/>
        </w:rPr>
        <w:t>Sarah Bragg</w:t>
      </w:r>
    </w:p>
    <w:p w:rsidR="004D50CA" w:rsidRDefault="005B49ED">
      <w:pPr>
        <w:rPr>
          <w:rFonts w:ascii="Calibri" w:eastAsia="Calibri" w:hAnsi="Calibri" w:cs="Calibri"/>
          <w:sz w:val="24"/>
          <w:szCs w:val="24"/>
          <w:highlight w:val="white"/>
        </w:rPr>
      </w:pPr>
      <w:r>
        <w:rPr>
          <w:rFonts w:ascii="Calibri" w:eastAsia="Calibri" w:hAnsi="Calibri" w:cs="Calibri"/>
          <w:sz w:val="24"/>
          <w:szCs w:val="24"/>
          <w:highlight w:val="white"/>
        </w:rPr>
        <w:t xml:space="preserve">What began as a literature review during my 12-week internship with the Centers for Disease Control and Prevention (CDC), expanded to include data about a private liberal arts </w:t>
      </w:r>
      <w:r>
        <w:rPr>
          <w:rFonts w:ascii="Calibri" w:eastAsia="Calibri" w:hAnsi="Calibri" w:cs="Calibri"/>
          <w:sz w:val="24"/>
          <w:szCs w:val="24"/>
          <w:highlight w:val="white"/>
        </w:rPr>
        <w:t>college. This study intended to utilize the existent body of literature to explore why college students do not seek testing, the conceptual models/theories that explained the lack of testing among the population, and possible solutions to increase HIV test</w:t>
      </w:r>
      <w:r>
        <w:rPr>
          <w:rFonts w:ascii="Calibri" w:eastAsia="Calibri" w:hAnsi="Calibri" w:cs="Calibri"/>
          <w:sz w:val="24"/>
          <w:szCs w:val="24"/>
          <w:highlight w:val="white"/>
        </w:rPr>
        <w:t xml:space="preserve">ing. The second part of the study consisted of comparing testing trends at a private liberal arts college to trends at large public universities as well as suggestions for future research among this population. </w:t>
      </w:r>
      <w:proofErr w:type="gramStart"/>
      <w:r>
        <w:rPr>
          <w:rFonts w:ascii="Calibri" w:eastAsia="Calibri" w:hAnsi="Calibri" w:cs="Calibri"/>
          <w:sz w:val="24"/>
          <w:szCs w:val="24"/>
          <w:highlight w:val="white"/>
        </w:rPr>
        <w:t>College students remain an under-researched p</w:t>
      </w:r>
      <w:r>
        <w:rPr>
          <w:rFonts w:ascii="Calibri" w:eastAsia="Calibri" w:hAnsi="Calibri" w:cs="Calibri"/>
          <w:sz w:val="24"/>
          <w:szCs w:val="24"/>
          <w:highlight w:val="white"/>
        </w:rPr>
        <w:t>opulation in regards to HIV testing, but given the steady increase of those diagnosed with HIV between the ages of 20-24 it is</w:t>
      </w:r>
      <w:proofErr w:type="gramEnd"/>
      <w:r>
        <w:rPr>
          <w:rFonts w:ascii="Calibri" w:eastAsia="Calibri" w:hAnsi="Calibri" w:cs="Calibri"/>
          <w:sz w:val="24"/>
          <w:szCs w:val="24"/>
          <w:highlight w:val="white"/>
        </w:rPr>
        <w:t xml:space="preserve"> necessary that we begin to rethink the preconceptions about educational attainment and sexual responsibility.</w:t>
      </w:r>
    </w:p>
    <w:p w:rsidR="004D50CA" w:rsidRDefault="005B49ED">
      <w:pPr>
        <w:rPr>
          <w:rFonts w:ascii="Calibri" w:eastAsia="Calibri" w:hAnsi="Calibri" w:cs="Calibri"/>
          <w:sz w:val="24"/>
          <w:szCs w:val="24"/>
          <w:highlight w:val="white"/>
        </w:rPr>
      </w:pPr>
      <w:r>
        <w:rPr>
          <w:noProof/>
        </w:rPr>
        <w:lastRenderedPageBreak/>
        <w:drawing>
          <wp:inline distT="114300" distB="114300" distL="114300" distR="114300">
            <wp:extent cx="3119438" cy="2867025"/>
            <wp:effectExtent l="0" t="0" r="0" b="0"/>
            <wp:docPr id="1"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6"/>
                    <a:srcRect/>
                    <a:stretch>
                      <a:fillRect/>
                    </a:stretch>
                  </pic:blipFill>
                  <pic:spPr>
                    <a:xfrm>
                      <a:off x="0" y="0"/>
                      <a:ext cx="3119438" cy="2867025"/>
                    </a:xfrm>
                    <a:prstGeom prst="rect">
                      <a:avLst/>
                    </a:prstGeom>
                    <a:ln/>
                  </pic:spPr>
                </pic:pic>
              </a:graphicData>
            </a:graphic>
          </wp:inline>
        </w:drawing>
      </w:r>
    </w:p>
    <w:p w:rsidR="004D50CA" w:rsidRDefault="004D50CA">
      <w:pPr>
        <w:rPr>
          <w:rFonts w:ascii="Calibri" w:eastAsia="Calibri" w:hAnsi="Calibri" w:cs="Calibri"/>
          <w:sz w:val="24"/>
          <w:szCs w:val="24"/>
          <w:highlight w:val="white"/>
        </w:rPr>
      </w:pPr>
    </w:p>
    <w:p w:rsidR="004D50CA" w:rsidRDefault="004D50CA"/>
    <w:p w:rsidR="004D50CA" w:rsidRDefault="004D50CA"/>
    <w:p w:rsidR="004D50CA" w:rsidRDefault="005B49ED">
      <w:r>
        <w:t>The Benefits o</w:t>
      </w:r>
      <w:r>
        <w:t>f Being Kind: A Proposed Program Promoting Prosocial Behavior in Low-income Preschools</w:t>
      </w:r>
    </w:p>
    <w:p w:rsidR="004D50CA" w:rsidRDefault="005B49ED">
      <w:r>
        <w:t xml:space="preserve">Rachel </w:t>
      </w:r>
      <w:proofErr w:type="spellStart"/>
      <w:r>
        <w:t>Lifton</w:t>
      </w:r>
      <w:proofErr w:type="spellEnd"/>
      <w:r>
        <w:t xml:space="preserve"> </w:t>
      </w:r>
    </w:p>
    <w:p w:rsidR="004D50CA" w:rsidRDefault="005B49ED">
      <w:pPr>
        <w:rPr>
          <w:sz w:val="24"/>
          <w:szCs w:val="24"/>
          <w:highlight w:val="white"/>
        </w:rPr>
      </w:pPr>
      <w:r>
        <w:rPr>
          <w:sz w:val="24"/>
          <w:szCs w:val="24"/>
          <w:highlight w:val="white"/>
        </w:rPr>
        <w:t>Prosocial behavior positively affects countless realms of life, including protection against stress and increased happiness</w:t>
      </w:r>
      <w:r>
        <w:rPr>
          <w:sz w:val="16"/>
          <w:szCs w:val="16"/>
          <w:highlight w:val="white"/>
        </w:rPr>
        <w:t xml:space="preserve">. </w:t>
      </w:r>
      <w:r>
        <w:rPr>
          <w:sz w:val="24"/>
          <w:szCs w:val="24"/>
          <w:highlight w:val="white"/>
        </w:rPr>
        <w:t>Though it is an innate drive,</w:t>
      </w:r>
      <w:r>
        <w:rPr>
          <w:sz w:val="24"/>
          <w:szCs w:val="24"/>
          <w:highlight w:val="white"/>
        </w:rPr>
        <w:t xml:space="preserve"> certain environmental and personal characteristics are necessary for its full development. These conditions can be greatly affected by one’s socioeconomic status—with prevalent chronic stress and limited resources, low-income individuals are at greater ri</w:t>
      </w:r>
      <w:r>
        <w:rPr>
          <w:sz w:val="24"/>
          <w:szCs w:val="24"/>
          <w:highlight w:val="white"/>
        </w:rPr>
        <w:t>sk for antisocial behavior. Preschool- aged low-income children are at particular risk, as those early years are a sensitive period in the development of social skills, amongst others. Because existing methods of promoting prosocial behavior fail to addres</w:t>
      </w:r>
      <w:r>
        <w:rPr>
          <w:sz w:val="24"/>
          <w:szCs w:val="24"/>
          <w:highlight w:val="white"/>
        </w:rPr>
        <w:t>s the unique circumstances of low-income children, I am proposing a three-week theater after school program aimed to fill these gaps and provide much needed support and tools to low-income preschoolers.</w:t>
      </w:r>
    </w:p>
    <w:p w:rsidR="004D50CA" w:rsidRDefault="004D50CA"/>
    <w:p w:rsidR="004D50CA" w:rsidRDefault="005B49ED">
      <w:r>
        <w:t xml:space="preserve">The Influence of Parental Messages </w:t>
      </w:r>
      <w:proofErr w:type="gramStart"/>
      <w:r>
        <w:t>About</w:t>
      </w:r>
      <w:proofErr w:type="gramEnd"/>
      <w:r>
        <w:t xml:space="preserve"> Sexual Orie</w:t>
      </w:r>
      <w:r>
        <w:t xml:space="preserve">ntation on LGBT Sexual Affect and Sexual Experience </w:t>
      </w:r>
    </w:p>
    <w:p w:rsidR="004D50CA" w:rsidRDefault="005B49ED">
      <w:r>
        <w:t>Janay Johnson</w:t>
      </w:r>
    </w:p>
    <w:p w:rsidR="004D50CA" w:rsidRDefault="005B49ED">
      <w:pPr>
        <w:rPr>
          <w:rFonts w:ascii="Calibri" w:eastAsia="Calibri" w:hAnsi="Calibri" w:cs="Calibri"/>
          <w:sz w:val="24"/>
          <w:szCs w:val="24"/>
          <w:highlight w:val="white"/>
        </w:rPr>
      </w:pPr>
      <w:r>
        <w:rPr>
          <w:rFonts w:ascii="Calibri" w:eastAsia="Calibri" w:hAnsi="Calibri" w:cs="Calibri"/>
          <w:sz w:val="24"/>
          <w:szCs w:val="24"/>
          <w:highlight w:val="white"/>
        </w:rPr>
        <w:t>My SIP aimed to shed light on the lack of research surrounding</w:t>
      </w:r>
      <w:r>
        <w:rPr>
          <w:rFonts w:ascii="Times New Roman" w:eastAsia="Times New Roman" w:hAnsi="Times New Roman" w:cs="Times New Roman"/>
          <w:sz w:val="24"/>
          <w:szCs w:val="24"/>
          <w:highlight w:val="white"/>
        </w:rPr>
        <w:t xml:space="preserve"> </w:t>
      </w:r>
      <w:r>
        <w:rPr>
          <w:rFonts w:ascii="Calibri" w:eastAsia="Calibri" w:hAnsi="Calibri" w:cs="Calibri"/>
          <w:sz w:val="24"/>
          <w:szCs w:val="24"/>
          <w:highlight w:val="white"/>
        </w:rPr>
        <w:t>positive parental messages on homosexuality, the emotions Lesbian, Gay, Bisexual, Transgender (LGBT) individuals experience su</w:t>
      </w:r>
      <w:r>
        <w:rPr>
          <w:rFonts w:ascii="Calibri" w:eastAsia="Calibri" w:hAnsi="Calibri" w:cs="Calibri"/>
          <w:sz w:val="24"/>
          <w:szCs w:val="24"/>
          <w:highlight w:val="white"/>
        </w:rPr>
        <w:t>rrounding their own sexuality and the impact on their sexual experiences. It was predicted that higher levels of positive parental messages about homosexuality would be associated with higher levels of positive sexual affect, higher levels of sexual experi</w:t>
      </w:r>
      <w:r>
        <w:rPr>
          <w:rFonts w:ascii="Calibri" w:eastAsia="Calibri" w:hAnsi="Calibri" w:cs="Calibri"/>
          <w:sz w:val="24"/>
          <w:szCs w:val="24"/>
          <w:highlight w:val="white"/>
        </w:rPr>
        <w:t xml:space="preserve">ence, lower levels of </w:t>
      </w:r>
      <w:r>
        <w:rPr>
          <w:rFonts w:ascii="Calibri" w:eastAsia="Calibri" w:hAnsi="Calibri" w:cs="Calibri"/>
          <w:sz w:val="24"/>
          <w:szCs w:val="24"/>
          <w:highlight w:val="white"/>
        </w:rPr>
        <w:lastRenderedPageBreak/>
        <w:t>negative sexual affect, and lower levels of shameful sexual affect. Between parental messages and level of sexual experience, a positive correlation was found while there was no correlation was found between parental messages, positiv</w:t>
      </w:r>
      <w:r>
        <w:rPr>
          <w:rFonts w:ascii="Calibri" w:eastAsia="Calibri" w:hAnsi="Calibri" w:cs="Calibri"/>
          <w:sz w:val="24"/>
          <w:szCs w:val="24"/>
          <w:highlight w:val="white"/>
        </w:rPr>
        <w:t>e, negative or shameful sexual affect. The results of this study suggest a need for larger scale research in order to broaden the field of parental communication in the LGBT community.</w:t>
      </w:r>
    </w:p>
    <w:p w:rsidR="004D50CA" w:rsidRDefault="005B49ED">
      <w:pPr>
        <w:rPr>
          <w:rFonts w:ascii="Calibri" w:eastAsia="Calibri" w:hAnsi="Calibri" w:cs="Calibri"/>
          <w:sz w:val="24"/>
          <w:szCs w:val="24"/>
          <w:highlight w:val="white"/>
        </w:rPr>
      </w:pPr>
      <w:r>
        <w:rPr>
          <w:noProof/>
        </w:rPr>
        <w:drawing>
          <wp:inline distT="114300" distB="114300" distL="114300" distR="114300">
            <wp:extent cx="3948113" cy="2215702"/>
            <wp:effectExtent l="0" t="0" r="0" b="0"/>
            <wp:docPr id="2"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7"/>
                    <a:srcRect/>
                    <a:stretch>
                      <a:fillRect/>
                    </a:stretch>
                  </pic:blipFill>
                  <pic:spPr>
                    <a:xfrm>
                      <a:off x="0" y="0"/>
                      <a:ext cx="3948113" cy="2215702"/>
                    </a:xfrm>
                    <a:prstGeom prst="rect">
                      <a:avLst/>
                    </a:prstGeom>
                    <a:ln/>
                  </pic:spPr>
                </pic:pic>
              </a:graphicData>
            </a:graphic>
          </wp:inline>
        </w:drawing>
      </w:r>
    </w:p>
    <w:p w:rsidR="004D50CA" w:rsidRDefault="004D50CA"/>
    <w:p w:rsidR="004D50CA" w:rsidRDefault="005B49ED">
      <w:r>
        <w:t xml:space="preserve">Music Videos &amp; Gender Beliefs: How Black Men View Black Women. </w:t>
      </w:r>
    </w:p>
    <w:p w:rsidR="004D50CA" w:rsidRDefault="005B49ED">
      <w:r>
        <w:t>Bran</w:t>
      </w:r>
      <w:r>
        <w:t>don Johnson-Smith</w:t>
      </w:r>
    </w:p>
    <w:p w:rsidR="004D50CA" w:rsidRDefault="005B49ED">
      <w:r>
        <w:t xml:space="preserve">My </w:t>
      </w:r>
      <w:proofErr w:type="gramStart"/>
      <w:r>
        <w:t>interest in the behaviors of adolescents, especially adolescents of color, lead</w:t>
      </w:r>
      <w:proofErr w:type="gramEnd"/>
      <w:r>
        <w:t xml:space="preserve"> me to explore what influences the behaviors of adolescents. This study of music videos and gender beliefs was started in order to explain how music videos </w:t>
      </w:r>
      <w:r>
        <w:t xml:space="preserve">can influence the ways that Black male adolescents think about Black female adolescents. The study also explains what images </w:t>
      </w:r>
      <w:proofErr w:type="gramStart"/>
      <w:r>
        <w:t>that Black males</w:t>
      </w:r>
      <w:proofErr w:type="gramEnd"/>
      <w:r>
        <w:t xml:space="preserve"> adolescents are receiving from music videos about Black female adolescents. The intent of the study is to not only</w:t>
      </w:r>
      <w:r>
        <w:t xml:space="preserve"> pinpoint some of the problems that are influencing the behaviors of adolescents, but to also help create conversation about the ways in which those problems can be resolved.</w:t>
      </w:r>
    </w:p>
    <w:p w:rsidR="004D50CA" w:rsidRDefault="005B49ED">
      <w:r>
        <w:rPr>
          <w:noProof/>
        </w:rPr>
        <w:drawing>
          <wp:inline distT="114300" distB="114300" distL="114300" distR="114300">
            <wp:extent cx="3605213" cy="2027932"/>
            <wp:effectExtent l="0" t="0" r="0" b="0"/>
            <wp:docPr id="3"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8"/>
                    <a:srcRect/>
                    <a:stretch>
                      <a:fillRect/>
                    </a:stretch>
                  </pic:blipFill>
                  <pic:spPr>
                    <a:xfrm>
                      <a:off x="0" y="0"/>
                      <a:ext cx="3605213" cy="2027932"/>
                    </a:xfrm>
                    <a:prstGeom prst="rect">
                      <a:avLst/>
                    </a:prstGeom>
                    <a:ln/>
                  </pic:spPr>
                </pic:pic>
              </a:graphicData>
            </a:graphic>
          </wp:inline>
        </w:drawing>
      </w:r>
    </w:p>
    <w:p w:rsidR="004D50CA" w:rsidRDefault="004D50CA"/>
    <w:p w:rsidR="004D50CA" w:rsidRDefault="005B49ED">
      <w:r>
        <w:t>Subjective Religiosity and Organized Religiosity as a Predictor of Sexual Affe</w:t>
      </w:r>
      <w:r>
        <w:t xml:space="preserve">ct Among African Americans </w:t>
      </w:r>
    </w:p>
    <w:p w:rsidR="004D50CA" w:rsidRDefault="005B49ED">
      <w:r>
        <w:t xml:space="preserve">Janelle Grant </w:t>
      </w:r>
    </w:p>
    <w:p w:rsidR="004D50CA" w:rsidRDefault="005B49ED">
      <w:r>
        <w:lastRenderedPageBreak/>
        <w:t xml:space="preserve">My SIP was titled Subjective and Organized Religiosity as a Predictor of Sexual Affect. It was inspired by my religion and psychology majors and my interest in how religious discourses affect individuals. Through </w:t>
      </w:r>
      <w:proofErr w:type="spellStart"/>
      <w:r>
        <w:t>pearson</w:t>
      </w:r>
      <w:proofErr w:type="spellEnd"/>
      <w:r>
        <w:t xml:space="preserve"> R correlations</w:t>
      </w:r>
      <w:proofErr w:type="gramStart"/>
      <w:r>
        <w:t>,  I</w:t>
      </w:r>
      <w:proofErr w:type="gramEnd"/>
      <w:r>
        <w:t xml:space="preserve"> found that Afric</w:t>
      </w:r>
      <w:r>
        <w:t>an Americans who practice subjective religiosity (anything outside of a religious building) usually have a positive sexual affect, or feel positively about their sexual experiences. For future research, it would be useful to breakdown subjective religiosit</w:t>
      </w:r>
      <w:r>
        <w:t>y into categories like prayer and scripture reading to see what elements facilitate positive sexual affect.</w:t>
      </w:r>
    </w:p>
    <w:p w:rsidR="004D50CA" w:rsidRDefault="004D50CA"/>
    <w:p w:rsidR="004D50CA" w:rsidRDefault="005B49ED">
      <w:r>
        <w:rPr>
          <w:noProof/>
        </w:rPr>
        <w:drawing>
          <wp:inline distT="114300" distB="114300" distL="114300" distR="114300">
            <wp:extent cx="2986088" cy="1676182"/>
            <wp:effectExtent l="0" t="0" r="0" b="0"/>
            <wp:docPr id="4"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9"/>
                    <a:srcRect/>
                    <a:stretch>
                      <a:fillRect/>
                    </a:stretch>
                  </pic:blipFill>
                  <pic:spPr>
                    <a:xfrm>
                      <a:off x="0" y="0"/>
                      <a:ext cx="2986088" cy="1676182"/>
                    </a:xfrm>
                    <a:prstGeom prst="rect">
                      <a:avLst/>
                    </a:prstGeom>
                    <a:ln/>
                  </pic:spPr>
                </pic:pic>
              </a:graphicData>
            </a:graphic>
          </wp:inline>
        </w:drawing>
      </w:r>
    </w:p>
    <w:p w:rsidR="004D50CA" w:rsidRDefault="004D50CA"/>
    <w:p w:rsidR="004D50CA" w:rsidRDefault="004D50CA"/>
    <w:p w:rsidR="004D50CA" w:rsidRDefault="004D50CA"/>
    <w:sectPr w:rsidR="004D50CA">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4D50CA"/>
    <w:rsid w:val="00254D89"/>
    <w:rsid w:val="004D50CA"/>
    <w:rsid w:val="005B49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254D8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4D8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254D8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4D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jpg"/><Relationship Id="rId3" Type="http://schemas.openxmlformats.org/officeDocument/2006/relationships/settings" Target="settings.xml"/><Relationship Id="rId7" Type="http://schemas.openxmlformats.org/officeDocument/2006/relationships/image" Target="media/image3.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702</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Kalamazoo College</Company>
  <LinksUpToDate>false</LinksUpToDate>
  <CharactersWithSpaces>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Ethel M. Mogilevsky</dc:creator>
  <cp:lastModifiedBy>Information Services</cp:lastModifiedBy>
  <cp:revision>2</cp:revision>
  <dcterms:created xsi:type="dcterms:W3CDTF">2017-05-03T14:17:00Z</dcterms:created>
  <dcterms:modified xsi:type="dcterms:W3CDTF">2017-05-03T14:17:00Z</dcterms:modified>
</cp:coreProperties>
</file>